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F262" w14:textId="77777777" w:rsidR="00691CF4" w:rsidRPr="00813A71" w:rsidRDefault="00691CF4" w:rsidP="00813A71">
      <w:pPr>
        <w:pStyle w:val="ListParagraph"/>
        <w:numPr>
          <w:ilvl w:val="0"/>
          <w:numId w:val="41"/>
        </w:numPr>
        <w:rPr>
          <w:sz w:val="2"/>
        </w:rPr>
      </w:pPr>
    </w:p>
    <w:tbl>
      <w:tblPr>
        <w:tblW w:w="156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2"/>
        <w:gridCol w:w="4818"/>
        <w:gridCol w:w="2698"/>
        <w:gridCol w:w="2514"/>
      </w:tblGrid>
      <w:tr w:rsidR="00691CF4" w14:paraId="42F1E6CF" w14:textId="77777777" w:rsidTr="2FC5F642">
        <w:trPr>
          <w:trHeight w:val="340"/>
          <w:jc w:val="center"/>
        </w:trPr>
        <w:tc>
          <w:tcPr>
            <w:tcW w:w="56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52EC" w14:textId="77777777" w:rsidR="00691CF4" w:rsidRDefault="004A164D" w:rsidP="006024E0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>Company :</w:t>
            </w:r>
            <w:proofErr w:type="gramEnd"/>
          </w:p>
        </w:tc>
        <w:tc>
          <w:tcPr>
            <w:tcW w:w="48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FFDA" w14:textId="77777777" w:rsidR="00691CF4" w:rsidRDefault="004A164D" w:rsidP="006024E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Heights of Abraham</w:t>
            </w:r>
          </w:p>
        </w:tc>
        <w:tc>
          <w:tcPr>
            <w:tcW w:w="2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190C" w14:textId="77777777" w:rsidR="00691CF4" w:rsidRDefault="004A164D" w:rsidP="003446A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of Assessment:</w:t>
            </w:r>
          </w:p>
        </w:tc>
        <w:tc>
          <w:tcPr>
            <w:tcW w:w="2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CCCF" w14:textId="5A7D2D92" w:rsidR="00691CF4" w:rsidRPr="000D2B47" w:rsidRDefault="00F21BFF" w:rsidP="2FC5F642">
            <w:pPr>
              <w:spacing w:line="259" w:lineRule="auto"/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>22</w:t>
            </w:r>
            <w:r w:rsidR="2FC5F642" w:rsidRPr="2FC5F642">
              <w:rPr>
                <w:rFonts w:ascii="Century Gothic" w:hAnsi="Century Gothic"/>
                <w:sz w:val="20"/>
                <w:szCs w:val="20"/>
              </w:rPr>
              <w:t>/02/2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  <w:tr w:rsidR="003446A5" w14:paraId="17C85C0D" w14:textId="77777777" w:rsidTr="2FC5F642">
        <w:trPr>
          <w:trHeight w:val="340"/>
          <w:jc w:val="center"/>
        </w:trPr>
        <w:tc>
          <w:tcPr>
            <w:tcW w:w="56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6339" w14:textId="77777777" w:rsidR="003446A5" w:rsidRDefault="003446A5" w:rsidP="003446A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Area / Location:</w:t>
            </w:r>
          </w:p>
        </w:tc>
        <w:tc>
          <w:tcPr>
            <w:tcW w:w="48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E6AD" w14:textId="77777777" w:rsidR="003446A5" w:rsidRDefault="003446A5" w:rsidP="003446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Areas</w:t>
            </w:r>
          </w:p>
        </w:tc>
        <w:tc>
          <w:tcPr>
            <w:tcW w:w="2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E1CAF6D" w14:textId="56B442B8" w:rsidR="003446A5" w:rsidRDefault="003446A5" w:rsidP="003446A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Review Date:</w:t>
            </w:r>
          </w:p>
        </w:tc>
        <w:tc>
          <w:tcPr>
            <w:tcW w:w="2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5B5B3F" w14:textId="2C393EC0" w:rsidR="003446A5" w:rsidRDefault="2FC5F642" w:rsidP="003446A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2FC5F642">
              <w:rPr>
                <w:rFonts w:ascii="Century Gothic" w:hAnsi="Century Gothic"/>
                <w:sz w:val="20"/>
                <w:szCs w:val="20"/>
              </w:rPr>
              <w:t>March 202</w:t>
            </w:r>
            <w:r w:rsidR="00F21BFF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</w:tr>
      <w:tr w:rsidR="003446A5" w14:paraId="7E89B84C" w14:textId="77777777" w:rsidTr="2FC5F642">
        <w:trPr>
          <w:trHeight w:val="412"/>
          <w:jc w:val="center"/>
        </w:trPr>
        <w:tc>
          <w:tcPr>
            <w:tcW w:w="56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223B" w14:textId="77777777" w:rsidR="003446A5" w:rsidRDefault="003446A5" w:rsidP="003446A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Description of work activity / process being assessed:</w:t>
            </w:r>
          </w:p>
        </w:tc>
        <w:tc>
          <w:tcPr>
            <w:tcW w:w="48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2486" w14:textId="603CEF38" w:rsidR="003446A5" w:rsidRDefault="001207BE" w:rsidP="003446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Education Visits</w:t>
            </w:r>
            <w:r w:rsidR="003446A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5BC0284" w14:textId="77777777" w:rsidR="003446A5" w:rsidRPr="003B7D63" w:rsidRDefault="003446A5" w:rsidP="003446A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Risk Assessment No:</w:t>
            </w:r>
          </w:p>
        </w:tc>
        <w:tc>
          <w:tcPr>
            <w:tcW w:w="2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B979FC" w14:textId="5E63E357" w:rsidR="003446A5" w:rsidRDefault="007E7878" w:rsidP="003446A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GEV23</w:t>
            </w:r>
          </w:p>
        </w:tc>
      </w:tr>
    </w:tbl>
    <w:p w14:paraId="04703047" w14:textId="77777777" w:rsidR="00691CF4" w:rsidRDefault="00691CF4">
      <w:pPr>
        <w:rPr>
          <w:rFonts w:ascii="Century Gothic" w:hAnsi="Century Gothic"/>
          <w:sz w:val="16"/>
          <w:szCs w:val="16"/>
        </w:rPr>
      </w:pPr>
    </w:p>
    <w:tbl>
      <w:tblPr>
        <w:tblW w:w="1573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9"/>
        <w:gridCol w:w="567"/>
        <w:gridCol w:w="3969"/>
        <w:gridCol w:w="562"/>
        <w:gridCol w:w="992"/>
        <w:gridCol w:w="3544"/>
        <w:gridCol w:w="3402"/>
      </w:tblGrid>
      <w:tr w:rsidR="003B7D63" w14:paraId="509094E3" w14:textId="77777777" w:rsidTr="00792832">
        <w:trPr>
          <w:trHeight w:val="275"/>
        </w:trPr>
        <w:tc>
          <w:tcPr>
            <w:tcW w:w="3266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C039" w14:textId="77777777" w:rsid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3FE6" w14:textId="77777777" w:rsid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19E71154" w14:textId="77777777" w:rsidR="003B7D63" w:rsidRP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 w:cs="Arial"/>
                <w:b/>
                <w:sz w:val="20"/>
                <w:szCs w:val="20"/>
              </w:rPr>
              <w:t>RISK RATING = SEVERITY x LIKELIHOOD</w:t>
            </w:r>
          </w:p>
        </w:tc>
      </w:tr>
      <w:tr w:rsidR="003B7D63" w14:paraId="79EA84AD" w14:textId="77777777" w:rsidTr="00792832">
        <w:trPr>
          <w:trHeight w:val="275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AC58" w14:textId="77777777" w:rsidR="003B7D63" w:rsidRDefault="003B7D63" w:rsidP="003B7D63">
            <w:pPr>
              <w:jc w:val="center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Persons exposed: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8AAD" w14:textId="77777777" w:rsid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Type of assessment: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6540FF77" w14:textId="77777777" w:rsidR="003B7D63" w:rsidRP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Rating</w:t>
            </w:r>
          </w:p>
        </w:tc>
        <w:tc>
          <w:tcPr>
            <w:tcW w:w="35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0995524C" w14:textId="77777777" w:rsidR="003B7D63" w:rsidRP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SEVERITY of injury/disease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4082EDD3" w14:textId="77777777" w:rsidR="003B7D63" w:rsidRP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LIKELIHOOD of occurrence</w:t>
            </w:r>
          </w:p>
        </w:tc>
      </w:tr>
      <w:tr w:rsidR="00EF30FF" w14:paraId="1127D58C" w14:textId="77777777" w:rsidTr="00365622">
        <w:trPr>
          <w:trHeight w:val="275"/>
        </w:trPr>
        <w:tc>
          <w:tcPr>
            <w:tcW w:w="2699" w:type="dxa"/>
            <w:tcBorders>
              <w:top w:val="single" w:sz="4" w:space="0" w:color="7F7F7F"/>
              <w:lef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D690" w14:textId="77777777" w:rsidR="00EF30FF" w:rsidRDefault="00EF30FF" w:rsidP="00EF30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Employees</w:t>
            </w:r>
          </w:p>
        </w:tc>
        <w:tc>
          <w:tcPr>
            <w:tcW w:w="567" w:type="dxa"/>
            <w:tcBorders>
              <w:top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1394" w14:textId="6505CF32" w:rsidR="00EF30FF" w:rsidRDefault="00DC4505" w:rsidP="00EF30FF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D043" w14:textId="77777777" w:rsidR="00EF30FF" w:rsidRDefault="00EF30FF" w:rsidP="00EF30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Initial</w:t>
            </w:r>
          </w:p>
        </w:tc>
        <w:tc>
          <w:tcPr>
            <w:tcW w:w="562" w:type="dxa"/>
            <w:tcBorders>
              <w:top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565B" w14:textId="5F3E4F51" w:rsidR="00EF30FF" w:rsidRDefault="00DC4505" w:rsidP="00EF30F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92" w:type="dxa"/>
            <w:tcBorders>
              <w:top w:val="single" w:sz="4" w:space="0" w:color="7F7F7F"/>
              <w:right w:val="single" w:sz="4" w:space="0" w:color="7F7F7F"/>
            </w:tcBorders>
          </w:tcPr>
          <w:p w14:paraId="0039D408" w14:textId="77777777" w:rsidR="00EF30FF" w:rsidRDefault="00EF30FF" w:rsidP="008E079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HIGH</w:t>
            </w:r>
          </w:p>
          <w:p w14:paraId="06FECDDC" w14:textId="6A2AC8E3" w:rsidR="008E0797" w:rsidRPr="003B7D63" w:rsidRDefault="008E0797" w:rsidP="008E0797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(6-9)</w:t>
            </w:r>
          </w:p>
        </w:tc>
        <w:tc>
          <w:tcPr>
            <w:tcW w:w="3544" w:type="dxa"/>
            <w:tcBorders>
              <w:top w:val="single" w:sz="4" w:space="0" w:color="7F7F7F"/>
              <w:right w:val="single" w:sz="4" w:space="0" w:color="7F7F7F"/>
            </w:tcBorders>
            <w:vAlign w:val="center"/>
          </w:tcPr>
          <w:p w14:paraId="782C1A81" w14:textId="5DBE72C0" w:rsidR="00EF30FF" w:rsidRPr="00792832" w:rsidRDefault="008E0797" w:rsidP="00EF30FF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 xml:space="preserve">(3) </w:t>
            </w:r>
            <w:r w:rsidR="00EF30FF" w:rsidRPr="00792832">
              <w:rPr>
                <w:rFonts w:ascii="Century Gothic" w:hAnsi="Century Gothic"/>
                <w:sz w:val="20"/>
                <w:szCs w:val="20"/>
              </w:rPr>
              <w:t>Fatality; major injury or illness causing long term disability</w:t>
            </w:r>
          </w:p>
        </w:tc>
        <w:tc>
          <w:tcPr>
            <w:tcW w:w="3402" w:type="dxa"/>
            <w:tcBorders>
              <w:top w:val="single" w:sz="4" w:space="0" w:color="7F7F7F"/>
              <w:right w:val="single" w:sz="4" w:space="0" w:color="7F7F7F"/>
            </w:tcBorders>
            <w:vAlign w:val="center"/>
          </w:tcPr>
          <w:p w14:paraId="4F01BFCC" w14:textId="38ED3566" w:rsidR="00EF30FF" w:rsidRPr="00792832" w:rsidRDefault="008E0797" w:rsidP="00EF30FF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 xml:space="preserve">(3) </w:t>
            </w:r>
            <w:r w:rsidR="00EF30FF" w:rsidRPr="00792832">
              <w:rPr>
                <w:rFonts w:ascii="Century Gothic" w:hAnsi="Century Gothic"/>
                <w:sz w:val="20"/>
                <w:szCs w:val="20"/>
              </w:rPr>
              <w:t>Certain or near certain to occur</w:t>
            </w:r>
          </w:p>
        </w:tc>
      </w:tr>
      <w:tr w:rsidR="00EF30FF" w14:paraId="0E1AF176" w14:textId="77777777" w:rsidTr="00365622">
        <w:trPr>
          <w:trHeight w:val="275"/>
        </w:trPr>
        <w:tc>
          <w:tcPr>
            <w:tcW w:w="2699" w:type="dxa"/>
            <w:tcBorders>
              <w:lef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0692" w14:textId="77777777" w:rsidR="00EF30FF" w:rsidRDefault="00EF30FF" w:rsidP="00EF30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Contractors</w:t>
            </w:r>
          </w:p>
        </w:tc>
        <w:tc>
          <w:tcPr>
            <w:tcW w:w="567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D70C" w14:textId="36C407A0" w:rsidR="00EF30FF" w:rsidRDefault="00DC4505" w:rsidP="00EF30FF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969" w:type="dxa"/>
            <w:tcBorders>
              <w:lef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B030" w14:textId="77777777" w:rsidR="00EF30FF" w:rsidRDefault="00EF30FF" w:rsidP="00EF30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Change in process / activity / legislation / following an accident etc</w:t>
            </w:r>
          </w:p>
        </w:tc>
        <w:tc>
          <w:tcPr>
            <w:tcW w:w="562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108F" w14:textId="54A899BE" w:rsidR="00EF30FF" w:rsidRDefault="007E7878" w:rsidP="00EF30F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92" w:type="dxa"/>
            <w:tcBorders>
              <w:right w:val="single" w:sz="4" w:space="0" w:color="7F7F7F"/>
            </w:tcBorders>
          </w:tcPr>
          <w:p w14:paraId="52E41448" w14:textId="77777777" w:rsidR="00EF30FF" w:rsidRDefault="00EF30FF" w:rsidP="008E079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MEDIUM</w:t>
            </w:r>
          </w:p>
          <w:p w14:paraId="3A81FFBD" w14:textId="4F29384C" w:rsidR="008E0797" w:rsidRPr="003B7D63" w:rsidRDefault="008E0797" w:rsidP="008E0797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(4-6)</w:t>
            </w:r>
          </w:p>
        </w:tc>
        <w:tc>
          <w:tcPr>
            <w:tcW w:w="3544" w:type="dxa"/>
            <w:tcBorders>
              <w:right w:val="single" w:sz="4" w:space="0" w:color="7F7F7F"/>
            </w:tcBorders>
            <w:vAlign w:val="center"/>
          </w:tcPr>
          <w:p w14:paraId="283CBB92" w14:textId="512D2335" w:rsidR="00EF30FF" w:rsidRPr="00792832" w:rsidRDefault="008E0797" w:rsidP="00EF30FF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 xml:space="preserve">(2) </w:t>
            </w:r>
            <w:r w:rsidR="00EF30FF" w:rsidRPr="00792832">
              <w:rPr>
                <w:rFonts w:ascii="Century Gothic" w:hAnsi="Century Gothic"/>
                <w:sz w:val="20"/>
                <w:szCs w:val="20"/>
              </w:rPr>
              <w:t>Injury or illness causing short term disability</w:t>
            </w:r>
          </w:p>
        </w:tc>
        <w:tc>
          <w:tcPr>
            <w:tcW w:w="3402" w:type="dxa"/>
            <w:tcBorders>
              <w:right w:val="single" w:sz="4" w:space="0" w:color="7F7F7F"/>
            </w:tcBorders>
            <w:vAlign w:val="center"/>
          </w:tcPr>
          <w:p w14:paraId="3CF49593" w14:textId="1E806347" w:rsidR="00EF30FF" w:rsidRPr="00792832" w:rsidRDefault="008E0797" w:rsidP="00EF30FF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 xml:space="preserve">(2) </w:t>
            </w:r>
            <w:r w:rsidR="00EF30FF" w:rsidRPr="00792832">
              <w:rPr>
                <w:rFonts w:ascii="Century Gothic" w:hAnsi="Century Gothic"/>
                <w:sz w:val="20"/>
                <w:szCs w:val="20"/>
              </w:rPr>
              <w:t>Reasonably likely to occur</w:t>
            </w:r>
          </w:p>
        </w:tc>
      </w:tr>
      <w:tr w:rsidR="00EF30FF" w14:paraId="6BBD3E7B" w14:textId="77777777" w:rsidTr="00365622">
        <w:trPr>
          <w:trHeight w:val="275"/>
        </w:trPr>
        <w:tc>
          <w:tcPr>
            <w:tcW w:w="2699" w:type="dxa"/>
            <w:tcBorders>
              <w:left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F32A" w14:textId="77777777" w:rsidR="00EF30FF" w:rsidRDefault="00EF30FF" w:rsidP="00EF30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Visitors / Members of the public </w:t>
            </w:r>
          </w:p>
        </w:tc>
        <w:tc>
          <w:tcPr>
            <w:tcW w:w="567" w:type="dxa"/>
            <w:tcBorders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6E0C" w14:textId="0193B2F2" w:rsidR="00EF30FF" w:rsidRDefault="009E1057" w:rsidP="00EF30FF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3969" w:type="dxa"/>
            <w:tcBorders>
              <w:left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8965" w14:textId="77777777" w:rsidR="00EF30FF" w:rsidRDefault="00EF30FF" w:rsidP="00EF30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Operational review</w:t>
            </w:r>
          </w:p>
        </w:tc>
        <w:tc>
          <w:tcPr>
            <w:tcW w:w="562" w:type="dxa"/>
            <w:tcBorders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A2A8" w14:textId="48B8C482" w:rsidR="00EF30FF" w:rsidRDefault="00DC4505" w:rsidP="00EF30FF"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</w:tcPr>
          <w:p w14:paraId="63EF29FE" w14:textId="77777777" w:rsidR="00EF30FF" w:rsidRDefault="00EF30FF" w:rsidP="008E079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LOW</w:t>
            </w:r>
          </w:p>
          <w:p w14:paraId="2CAC055D" w14:textId="12534ED5" w:rsidR="008E0797" w:rsidRPr="003B7D63" w:rsidRDefault="008E0797" w:rsidP="008E0797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(1-3)</w:t>
            </w:r>
          </w:p>
        </w:tc>
        <w:tc>
          <w:tcPr>
            <w:tcW w:w="3544" w:type="dxa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14:paraId="5E567DDA" w14:textId="6E451A38" w:rsidR="00EF30FF" w:rsidRPr="00792832" w:rsidRDefault="008E0797" w:rsidP="00EF30FF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 xml:space="preserve">(1) </w:t>
            </w:r>
            <w:r w:rsidR="00EF30FF" w:rsidRPr="00792832">
              <w:rPr>
                <w:rFonts w:ascii="Century Gothic" w:hAnsi="Century Gothic"/>
                <w:sz w:val="20"/>
                <w:szCs w:val="20"/>
              </w:rPr>
              <w:t>Other injury or illness</w:t>
            </w:r>
          </w:p>
        </w:tc>
        <w:tc>
          <w:tcPr>
            <w:tcW w:w="3402" w:type="dxa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14:paraId="3726EF75" w14:textId="0B0AAF19" w:rsidR="00EF30FF" w:rsidRPr="00792832" w:rsidRDefault="008E0797" w:rsidP="00EF30FF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 xml:space="preserve">(1) </w:t>
            </w:r>
            <w:r w:rsidR="00EF30FF" w:rsidRPr="00792832">
              <w:rPr>
                <w:rFonts w:ascii="Century Gothic" w:hAnsi="Century Gothic"/>
                <w:sz w:val="20"/>
                <w:szCs w:val="20"/>
              </w:rPr>
              <w:t>Unlikely to occur</w:t>
            </w:r>
          </w:p>
        </w:tc>
      </w:tr>
    </w:tbl>
    <w:p w14:paraId="6C723F0E" w14:textId="21D114BE" w:rsidR="003B7D63" w:rsidRDefault="003B7D63" w:rsidP="65A81543">
      <w:pPr>
        <w:rPr>
          <w:rFonts w:ascii="Century Gothic" w:hAnsi="Century Gothic"/>
        </w:rPr>
      </w:pPr>
    </w:p>
    <w:tbl>
      <w:tblPr>
        <w:tblW w:w="154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6810"/>
        <w:gridCol w:w="1128"/>
        <w:gridCol w:w="2977"/>
        <w:gridCol w:w="1140"/>
      </w:tblGrid>
      <w:tr w:rsidR="003B7D63" w14:paraId="75B5D4D6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E68E" w14:textId="77777777" w:rsidR="003B7D63" w:rsidRDefault="003B7D63" w:rsidP="007928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Hazards and who might be harmed:</w:t>
            </w:r>
          </w:p>
          <w:p w14:paraId="293EDA23" w14:textId="77777777" w:rsidR="003B7D63" w:rsidRDefault="003B7D63" w:rsidP="007928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30A0" w14:textId="77777777" w:rsidR="003B7D63" w:rsidRDefault="003B7D63" w:rsidP="007928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Control measures already in place: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6802" w14:textId="77777777" w:rsidR="003B7D63" w:rsidRDefault="003B7D63" w:rsidP="008E0797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Risk Rating</w:t>
            </w:r>
          </w:p>
          <w:p w14:paraId="167BCE33" w14:textId="77777777" w:rsidR="003B7D63" w:rsidRDefault="003B7D63" w:rsidP="008E0797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3A38" w14:textId="77777777" w:rsidR="003B7D63" w:rsidRDefault="003B7D63" w:rsidP="007928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Additional control measures required to reduce the risk:</w:t>
            </w: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38F5" w14:textId="77777777" w:rsidR="003B7D63" w:rsidRDefault="003B7D63" w:rsidP="007928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Revised Risk Rating</w:t>
            </w:r>
          </w:p>
        </w:tc>
      </w:tr>
      <w:tr w:rsidR="00083581" w14:paraId="001DC6FA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442D" w14:textId="5EE763BF" w:rsidR="000A7463" w:rsidRPr="009A1D58" w:rsidRDefault="000A7463" w:rsidP="009A1D58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9A1D5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Cable car</w:t>
            </w:r>
          </w:p>
          <w:p w14:paraId="173B8ECE" w14:textId="404DD9CA" w:rsidR="009C179C" w:rsidRDefault="65A8154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General controls: Slips trips and falls. Door entrapment. System failure.</w:t>
            </w:r>
          </w:p>
          <w:p w14:paraId="2EFF6D0C" w14:textId="5101C0CF" w:rsidR="65A81543" w:rsidRDefault="65A81543" w:rsidP="65A81543">
            <w:pPr>
              <w:pStyle w:val="NoSpacing"/>
              <w:rPr>
                <w:rFonts w:ascii="Century Gothic" w:hAnsi="Century Gothic"/>
                <w:color w:val="000000" w:themeColor="text1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All staff and members of the public.</w:t>
            </w:r>
          </w:p>
          <w:p w14:paraId="4EF7AE53" w14:textId="77777777" w:rsidR="00083581" w:rsidRDefault="00083581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C92D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Only trained staff operate the cable car system.</w:t>
            </w:r>
          </w:p>
          <w:p w14:paraId="02E8921A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Access and egress to the cars is </w:t>
            </w:r>
            <w:proofErr w:type="gramStart"/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supervised at all times</w:t>
            </w:r>
            <w:proofErr w:type="gramEnd"/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 by our trained staff.</w:t>
            </w:r>
          </w:p>
          <w:p w14:paraId="2F399F40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Training is provided to industry best standards.</w:t>
            </w:r>
          </w:p>
          <w:p w14:paraId="509F2FBF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The system is maintained to a high standard and is subject to regular inspection by our </w:t>
            </w:r>
            <w:proofErr w:type="gramStart"/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Insurance</w:t>
            </w:r>
            <w:proofErr w:type="gramEnd"/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 inspectors and complies with ADIPS and cable ways directive </w:t>
            </w:r>
            <w:proofErr w:type="gramStart"/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2004..</w:t>
            </w:r>
            <w:proofErr w:type="gramEnd"/>
          </w:p>
          <w:p w14:paraId="05F78689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Risk control measures are regularly monitored.</w:t>
            </w:r>
          </w:p>
          <w:p w14:paraId="03F0E893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proofErr w:type="gramStart"/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Non slip</w:t>
            </w:r>
            <w:proofErr w:type="gramEnd"/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 surfaces are regularly maintained.</w:t>
            </w:r>
          </w:p>
          <w:p w14:paraId="4C1708B9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Maintenance work is carried out by experienced/qualified engineers,</w:t>
            </w:r>
          </w:p>
          <w:p w14:paraId="2AB67953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A risk adverse work culture is promoted.</w:t>
            </w:r>
          </w:p>
          <w:p w14:paraId="35593002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Support is provided by the manufacturer when required.</w:t>
            </w:r>
          </w:p>
          <w:p w14:paraId="399381D0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Critical components are subject to annual NDT testing.</w:t>
            </w:r>
          </w:p>
          <w:p w14:paraId="0EE78F35" w14:textId="6AE7CE2B" w:rsidR="00083581" w:rsidRPr="00156D90" w:rsidRDefault="000A7463" w:rsidP="000A7463">
            <w:pPr>
              <w:pStyle w:val="NoSpacing"/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ADIPS Amusement Device Inspection Procedures Scheme certification is obtained annually.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8AB1" w14:textId="14458EA6" w:rsidR="00083581" w:rsidRDefault="312A39E8" w:rsidP="008E079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D919" w14:textId="77777777" w:rsidR="00587F69" w:rsidRDefault="00587F69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ADDITIONAL NOTE:</w:t>
            </w:r>
          </w:p>
          <w:p w14:paraId="596E891B" w14:textId="75A2A0B6" w:rsidR="00083581" w:rsidRDefault="00587F69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Occasionally ch</w:t>
            </w:r>
            <w:r w:rsidR="00F21BFF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ildren have 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>refused to board the cable cars.  In this event</w:t>
            </w:r>
            <w:r w:rsidR="00B04395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Pedestrian access to the summit is possible, but via steep roads and paths of </w:t>
            </w:r>
            <w:proofErr w:type="gramStart"/>
            <w:r w:rsidR="00B04395">
              <w:rPr>
                <w:rFonts w:ascii="Century Gothic" w:hAnsi="Century Gothic"/>
                <w:color w:val="000000"/>
                <w:sz w:val="19"/>
                <w:szCs w:val="19"/>
              </w:rPr>
              <w:t>a distance of 1</w:t>
            </w:r>
            <w:proofErr w:type="gramEnd"/>
            <w:r w:rsidR="00B04395">
              <w:rPr>
                <w:rFonts w:ascii="Century Gothic" w:hAnsi="Century Gothic"/>
                <w:color w:val="000000"/>
                <w:sz w:val="19"/>
                <w:szCs w:val="19"/>
              </w:rPr>
              <w:t>.5km</w:t>
            </w:r>
            <w:r w:rsidR="00F21BFF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(1mile)</w:t>
            </w:r>
            <w:r w:rsidR="00B04395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, climbing </w:t>
            </w:r>
            <w:r w:rsidR="00F21BFF">
              <w:rPr>
                <w:rFonts w:ascii="Century Gothic" w:hAnsi="Century Gothic"/>
                <w:color w:val="000000"/>
                <w:sz w:val="19"/>
                <w:szCs w:val="19"/>
              </w:rPr>
              <w:t>169m (</w:t>
            </w:r>
            <w:r w:rsidR="00B04395">
              <w:rPr>
                <w:rFonts w:ascii="Century Gothic" w:hAnsi="Century Gothic"/>
                <w:color w:val="000000"/>
                <w:sz w:val="19"/>
                <w:szCs w:val="19"/>
              </w:rPr>
              <w:t>551ft</w:t>
            </w:r>
            <w:r w:rsidR="00F21BFF">
              <w:rPr>
                <w:rFonts w:ascii="Century Gothic" w:hAnsi="Century Gothic"/>
                <w:color w:val="000000"/>
                <w:sz w:val="19"/>
                <w:szCs w:val="19"/>
              </w:rPr>
              <w:t>)</w:t>
            </w:r>
            <w:r w:rsidR="00B04395">
              <w:rPr>
                <w:rFonts w:ascii="Century Gothic" w:hAnsi="Century Gothic"/>
                <w:color w:val="000000"/>
                <w:sz w:val="19"/>
                <w:szCs w:val="19"/>
              </w:rPr>
              <w:t>.  There is no general vehicle access to the summit.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 Groups should consider how supervision ratios may be affected if adult</w:t>
            </w:r>
            <w:r w:rsidR="00F21BFF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s are 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>required to accompany a child on foot.</w:t>
            </w: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C4BA" w14:textId="77777777" w:rsidR="00083581" w:rsidRDefault="00083581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3446A5" w14:paraId="71107E07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E45A" w14:textId="20F96D9C" w:rsidR="003446A5" w:rsidRDefault="65A81543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Fire/smoke </w:t>
            </w:r>
            <w:proofErr w:type="spellStart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inhailation</w:t>
            </w:r>
            <w:proofErr w:type="spellEnd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/burns: All staff and members of the public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B367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Staff are trained to direct visitors to leave the building immediately via appropriate exits.</w:t>
            </w:r>
          </w:p>
          <w:p w14:paraId="61154090" w14:textId="4C413415" w:rsidR="003446A5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Fire extinguishers are provided in the base and top station and employees have been trained in their use.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B56C" w14:textId="194D4F41" w:rsidR="003446A5" w:rsidRDefault="312A39E8" w:rsidP="008E079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B34C" w14:textId="77777777" w:rsidR="003446A5" w:rsidRDefault="003446A5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33E5" w14:textId="77777777" w:rsidR="003446A5" w:rsidRDefault="003446A5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046BEFDA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8DC4" w14:textId="448B4156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Breakdown: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8041" w14:textId="77777777" w:rsidR="000A7463" w:rsidRPr="009639A8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The system is maintained to a high standard and is subject to regular inspection by HSE and Insurance inspectors.</w:t>
            </w:r>
          </w:p>
          <w:p w14:paraId="59AB0DEF" w14:textId="77777777" w:rsidR="000A7463" w:rsidRPr="009639A8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Risk control measures are regularly monitored.</w:t>
            </w:r>
          </w:p>
          <w:p w14:paraId="12427F3D" w14:textId="77777777" w:rsidR="000A7463" w:rsidRPr="009639A8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A diesel back up power source is in place.</w:t>
            </w:r>
          </w:p>
          <w:p w14:paraId="127F811B" w14:textId="1C1812D7" w:rsidR="000A7463" w:rsidRPr="003446A5" w:rsidRDefault="000A7463" w:rsidP="000A7463">
            <w:pPr>
              <w:pStyle w:val="NoSpacing"/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In conjunction with the local fire service a rope rescue plan has been put in place and is practiced annually.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A7AC" w14:textId="49A04A1E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5A88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0692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4BF62D64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FAAB" w14:textId="4B83ABE0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lastRenderedPageBreak/>
              <w:t>Electric shock: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64E6" w14:textId="47D56797" w:rsidR="000A7463" w:rsidRPr="003446A5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All portable equipment and fixed installations are inspected / checked as per legal requirements.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992D" w14:textId="7EF7E06A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5A71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8E13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28BE8FF6" w14:textId="77777777" w:rsidTr="2FC5F642">
        <w:trPr>
          <w:trHeight w:val="811"/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4020" w14:textId="206A5302" w:rsidR="000A7463" w:rsidRPr="00920D1B" w:rsidRDefault="000A7463" w:rsidP="00920D1B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textAlignment w:val="auto"/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920D1B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Caves</w:t>
            </w:r>
          </w:p>
          <w:p w14:paraId="3E3841E6" w14:textId="6D6BD1C9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Possible exposure radon gas: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8A6C" w14:textId="110DE3B0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“</w:t>
            </w: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Radon concentrations in the Rutland and Great Masson Caverns do not present any 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>danger to members of the public”</w:t>
            </w: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source of information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>:</w:t>
            </w: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Radon Measurement Report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3A0F" w14:textId="2BA46B81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F2BB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  <w:p w14:paraId="1AF8B499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  <w:p w14:paraId="10E946B7" w14:textId="79FBFDEC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9838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61DF27B3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E42" w14:textId="58D9DC91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Uneven walking surface and low ceiling e.g. leading to slips, trips and falls, banging heads on roof </w:t>
            </w:r>
            <w:proofErr w:type="gramStart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etc. :</w:t>
            </w:r>
            <w:proofErr w:type="gramEnd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E6B7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Guides give verbal warnings of hazards before tour commences.</w:t>
            </w:r>
          </w:p>
          <w:p w14:paraId="6CC6E1CE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Warning signs are displayed at cave entrances.</w:t>
            </w:r>
          </w:p>
          <w:p w14:paraId="24D1882F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Visitors are only allowed underground when accompanied by an experienced guide.</w:t>
            </w:r>
          </w:p>
          <w:p w14:paraId="15623FBB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proofErr w:type="gramStart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Hand rails</w:t>
            </w:r>
            <w:proofErr w:type="gramEnd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are provided where there are steps and changes in levels.</w:t>
            </w:r>
          </w:p>
          <w:p w14:paraId="79830844" w14:textId="1E2B5FD3" w:rsidR="000A7463" w:rsidRDefault="000A7463" w:rsidP="0040403F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Lighting levels </w:t>
            </w:r>
            <w:proofErr w:type="gramStart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are considered to be</w:t>
            </w:r>
            <w:proofErr w:type="gramEnd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sufficient to identify any potential hazards.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1B01" w14:textId="5EB41B36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CA69" w14:textId="53494643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D7D7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70DF2BA1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DA8C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Hazards arising from mine workings </w:t>
            </w:r>
          </w:p>
          <w:p w14:paraId="4902E624" w14:textId="137EF93A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e. g falling rocks: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DD81" w14:textId="2772ABF1" w:rsidR="00920D1B" w:rsidRDefault="2FC5F642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2FC5F64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Daily checks by staff</w:t>
            </w:r>
          </w:p>
          <w:p w14:paraId="7F313384" w14:textId="6B831422" w:rsidR="000A7463" w:rsidRDefault="003A5181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P</w:t>
            </w:r>
            <w:r w:rsidR="000A7463" w:rsidRPr="009639A8">
              <w:rPr>
                <w:rFonts w:ascii="Century Gothic" w:hAnsi="Century Gothic"/>
                <w:color w:val="000000"/>
                <w:sz w:val="19"/>
                <w:szCs w:val="19"/>
              </w:rPr>
              <w:t>reventative maintenance work is carried out as required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>, calling on specialist mining contractor if necessary</w:t>
            </w:r>
            <w:r w:rsidR="000A7463" w:rsidRPr="009639A8">
              <w:rPr>
                <w:rFonts w:ascii="Century Gothic" w:hAnsi="Century Gothic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58E6" w14:textId="01DDA8E3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3278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E0EF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50DCCA86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B487" w14:textId="421C14E2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Electric shock from contact with lighting: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0B5F" w14:textId="4F29C72E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Portable appliances and fixed installations are subject to routine testing and checks as per legal requirements.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F953" w14:textId="05A4512B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DFBD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0F6E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587F69" w14:paraId="3306E2B3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D5A8" w14:textId="4F192BA2" w:rsidR="00587F69" w:rsidRPr="65A81543" w:rsidRDefault="00587F69" w:rsidP="65A81543">
            <w:pPr>
              <w:pStyle w:val="NoSpacing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Masson Cavern Audio-visual experience</w:t>
            </w:r>
            <w:r w:rsidR="007E19AA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. 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9ECE" w14:textId="49CE431C" w:rsidR="007E19AA" w:rsidRDefault="007E19AA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Flashing light elements are not at a frequency or duration that affects photosensitive conditions.</w:t>
            </w:r>
          </w:p>
          <w:p w14:paraId="3E6B895D" w14:textId="02CB784D" w:rsidR="007E19AA" w:rsidRPr="009639A8" w:rsidRDefault="007E19AA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8DE0" w14:textId="73AD545D" w:rsidR="00587F69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CA318" w14:textId="0F25832D" w:rsidR="00587F69" w:rsidRDefault="2FC5F642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2FC5F64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Pre-visit research recommended if group is likely to have persons that are sensitive or nervous about loud sounds and light effects</w:t>
            </w: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8598" w14:textId="77777777" w:rsidR="00587F69" w:rsidRDefault="00587F69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15CFBA30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61E3" w14:textId="77777777" w:rsidR="00567BA8" w:rsidRDefault="007D43B7" w:rsidP="000A7463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textAlignment w:val="auto"/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920D1B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Summit buildings interiors &amp; Tavern</w:t>
            </w:r>
          </w:p>
          <w:p w14:paraId="41524F2C" w14:textId="020A14B4" w:rsidR="000A7463" w:rsidRPr="00567BA8" w:rsidRDefault="65A81543" w:rsidP="65A8154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Slips/trips/</w:t>
            </w:r>
            <w:proofErr w:type="gramStart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falls :</w:t>
            </w:r>
            <w:proofErr w:type="gramEnd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 All staff and members of the public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697C" w14:textId="60DC926D" w:rsidR="000A7463" w:rsidRPr="00804E4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Spillages are mopped up when they occur and “A” frame warning notices are displayed on wet floors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777D" w14:textId="2C0942DF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CE27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7C8B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027CDFDE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872C" w14:textId="0F5871D9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Fire: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6729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Procedures in the event of fire displayed at entrance/exits.</w:t>
            </w:r>
          </w:p>
          <w:p w14:paraId="5D6A38E2" w14:textId="180DF31F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A fire alarm system and smoke detection is installed in </w:t>
            </w:r>
            <w:r w:rsidR="007D43B7">
              <w:rPr>
                <w:rFonts w:ascii="Century Gothic" w:hAnsi="Century Gothic"/>
                <w:color w:val="000000"/>
                <w:sz w:val="19"/>
                <w:szCs w:val="19"/>
              </w:rPr>
              <w:t>Visitor Centre,</w:t>
            </w: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High Falls,</w:t>
            </w:r>
            <w:r w:rsid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and Masson Pavilion -</w:t>
            </w: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tested weekly</w:t>
            </w:r>
            <w:r w:rsid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on a rotational basis</w:t>
            </w: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.</w:t>
            </w:r>
          </w:p>
          <w:p w14:paraId="4F150E49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Call-points located at all exits.</w:t>
            </w:r>
          </w:p>
          <w:p w14:paraId="75D1EDC5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In the event of a fire / alarm all visitors will be evacuated from the building by our staff.</w:t>
            </w:r>
          </w:p>
          <w:p w14:paraId="27EC7C08" w14:textId="119B83F3" w:rsidR="000A7463" w:rsidRPr="002E1154" w:rsidRDefault="000A7463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Fire extinguishers are provided.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014B" w14:textId="1A705ECC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7189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610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7D43B7" w14:paraId="3E07EDEC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0924" w14:textId="7D63F958" w:rsidR="007D43B7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Electric Shock: All staff and members of the public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A111" w14:textId="0AE7015B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Portable appliances and fixed installations are subject to routine testing and checks as per legal requirements.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0DA5" w14:textId="1F83174A" w:rsidR="007D43B7" w:rsidRDefault="312A39E8" w:rsidP="007D43B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788A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1AE0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7D43B7" w14:paraId="078DC1B4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11D4" w14:textId="4EB8169E" w:rsidR="007D43B7" w:rsidRPr="00920D1B" w:rsidRDefault="007D43B7" w:rsidP="00920D1B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textAlignment w:val="auto"/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920D1B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Play areas</w:t>
            </w:r>
          </w:p>
          <w:p w14:paraId="513F5BD0" w14:textId="2BF803E2" w:rsidR="007D43B7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Play equipment: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CF29" w14:textId="77777777" w:rsidR="007D43B7" w:rsidRPr="007D43B7" w:rsidRDefault="007D43B7" w:rsidP="007D43B7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Play equipment is subject to a schedule of daily and weekly inspections by staff and duty managers.  Any faults are rectified immediately.  If this is not possible, the affected item is taken out of service.</w:t>
            </w:r>
          </w:p>
          <w:p w14:paraId="08102E71" w14:textId="0A9C67F8" w:rsidR="007D43B7" w:rsidRPr="007D43B7" w:rsidRDefault="007D43B7" w:rsidP="007D43B7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Annual independent inspections are carried out </w:t>
            </w:r>
            <w:r w:rsidR="007E7878">
              <w:rPr>
                <w:rFonts w:ascii="Century Gothic" w:hAnsi="Century Gothic"/>
                <w:color w:val="000000"/>
                <w:sz w:val="19"/>
                <w:szCs w:val="19"/>
              </w:rPr>
              <w:t>on all play areas</w:t>
            </w:r>
          </w:p>
          <w:p w14:paraId="78F662E3" w14:textId="2D4D3E9B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Play area</w:t>
            </w:r>
            <w:r w:rsidR="007E7878">
              <w:rPr>
                <w:rFonts w:ascii="Century Gothic" w:hAnsi="Century Gothic"/>
                <w:color w:val="000000"/>
                <w:sz w:val="19"/>
                <w:szCs w:val="19"/>
              </w:rPr>
              <w:t>s</w:t>
            </w: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have impact absorbent surfaces around all equipment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A4E3" w14:textId="5A5B4DFC" w:rsidR="007D43B7" w:rsidRDefault="312A39E8" w:rsidP="007D43B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6D35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74CE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7D43B7" w14:paraId="2E814201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D913" w14:textId="2EE2D562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Minor play-related injuries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1FCF" w14:textId="77777777" w:rsidR="007D43B7" w:rsidRPr="007D43B7" w:rsidRDefault="007D43B7" w:rsidP="007D43B7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First aiders are available on site.</w:t>
            </w:r>
          </w:p>
          <w:p w14:paraId="248836D9" w14:textId="5A7A0DF5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lastRenderedPageBreak/>
              <w:t>Signs are displayed stating that play areas are unsupervised.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ED8A" w14:textId="030F8006" w:rsidR="007D43B7" w:rsidRDefault="312A39E8" w:rsidP="007D43B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7E48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5E02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7D43B7" w14:paraId="68A23071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8A7F" w14:textId="1E0CE3A9" w:rsidR="007D43B7" w:rsidRPr="009639A8" w:rsidRDefault="007D43B7" w:rsidP="00920D1B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Tower</w:t>
            </w:r>
          </w:p>
          <w:p w14:paraId="2FCDDA95" w14:textId="6B62C45B" w:rsidR="007D43B7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Falls etc due to narrow, steep steps (historic monument):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9DA8" w14:textId="77777777" w:rsidR="007D43B7" w:rsidRPr="007D43B7" w:rsidRDefault="007D43B7" w:rsidP="007D43B7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Signs displayed at the foot of the tower warning of this hazard.</w:t>
            </w:r>
          </w:p>
          <w:p w14:paraId="5AD11F87" w14:textId="19CA023D" w:rsidR="007D43B7" w:rsidRPr="007D43B7" w:rsidRDefault="007D43B7" w:rsidP="007D43B7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proofErr w:type="gramStart"/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Hand rail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>s</w:t>
            </w:r>
            <w:proofErr w:type="gramEnd"/>
            <w:r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on either side of steps</w:t>
            </w: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and </w:t>
            </w:r>
            <w:proofErr w:type="gramStart"/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low level</w:t>
            </w:r>
            <w:proofErr w:type="gramEnd"/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lighting installed</w:t>
            </w:r>
          </w:p>
          <w:p w14:paraId="106D3364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Parapet at the top of the tower to prevent persons falling</w:t>
            </w:r>
          </w:p>
          <w:p w14:paraId="5A85796F" w14:textId="20DF12BF" w:rsidR="007D43B7" w:rsidRDefault="2FC5F642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2FC5F64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CCTV cameras installed, allowing those at the base to see how many people are at the top and whether people are descending.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7CA0" w14:textId="4A189146" w:rsidR="007D43B7" w:rsidRDefault="312A39E8" w:rsidP="007D43B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F625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B220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9A1D58" w14:paraId="045AEC0D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E77C" w14:textId="77D78509" w:rsidR="009A1D58" w:rsidRPr="00567BA8" w:rsidRDefault="009A1D58" w:rsidP="009A1D58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textAlignment w:val="auto"/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920D1B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Site General:</w:t>
            </w:r>
          </w:p>
          <w:p w14:paraId="5DD8A33F" w14:textId="7A25059A" w:rsidR="009A1D58" w:rsidRPr="007D43B7" w:rsidRDefault="65A81543" w:rsidP="65A81543">
            <w:pPr>
              <w:suppressAutoHyphens w:val="0"/>
              <w:overflowPunct w:val="0"/>
              <w:autoSpaceDE w:val="0"/>
              <w:adjustRightInd w:val="0"/>
              <w:rPr>
                <w:rFonts w:ascii="Century Gothic" w:hAnsi="Century Gothic"/>
                <w:b/>
                <w:bCs/>
                <w:sz w:val="19"/>
                <w:szCs w:val="19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Hazards associated with use of vehicles including Land rovers and ATVs, on site: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DED8" w14:textId="77777777" w:rsidR="009A1D58" w:rsidRPr="000A7463" w:rsidRDefault="009A1D58" w:rsidP="009A1D5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Only trained and designated drivers are permitted to operate vehicles on site.</w:t>
            </w:r>
          </w:p>
          <w:p w14:paraId="29C009C5" w14:textId="77777777" w:rsidR="009A1D58" w:rsidRPr="000A7463" w:rsidRDefault="009A1D58" w:rsidP="009A1D5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Wherever possible the driving of vehicles on site is avoided during opening hours. </w:t>
            </w:r>
          </w:p>
          <w:p w14:paraId="47438370" w14:textId="77777777" w:rsidR="009A1D58" w:rsidRPr="000A7463" w:rsidRDefault="009A1D58" w:rsidP="009A1D5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The use of vehicles on site is regularly monitored.</w:t>
            </w:r>
          </w:p>
          <w:p w14:paraId="0416345C" w14:textId="77777777" w:rsidR="009A1D58" w:rsidRPr="000A7463" w:rsidRDefault="009A1D58" w:rsidP="009A1D5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The Land Rovers are road legal, taxed, </w:t>
            </w:r>
            <w:proofErr w:type="spellStart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MOT’d</w:t>
            </w:r>
            <w:proofErr w:type="spellEnd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, insured and serviced as per manufactures instructions.</w:t>
            </w:r>
          </w:p>
          <w:p w14:paraId="5AFB92CF" w14:textId="62E36AA3" w:rsidR="009A1D58" w:rsidRPr="007D43B7" w:rsidRDefault="009A1D58" w:rsidP="009A1D5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Driving licences are checked annually.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F0C3" w14:textId="151753D7" w:rsidR="009A1D58" w:rsidRDefault="312A39E8" w:rsidP="007D43B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08FD" w14:textId="77777777" w:rsidR="009A1D58" w:rsidRDefault="009A1D58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8277" w14:textId="77777777" w:rsidR="009A1D58" w:rsidRDefault="009A1D58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567BA8" w14:paraId="3EA0FD74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4F77" w14:textId="4EFEDD1A" w:rsidR="00567BA8" w:rsidRPr="00567BA8" w:rsidRDefault="65A81543" w:rsidP="65A8154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Slips, trips and falls e.g. due to gradient, wet surfaces, rain </w:t>
            </w:r>
            <w:proofErr w:type="gramStart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etc. :</w:t>
            </w:r>
            <w:proofErr w:type="gramEnd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F9FC" w14:textId="77777777" w:rsidR="00567BA8" w:rsidRPr="000A7463" w:rsidRDefault="00567BA8" w:rsidP="00567BA8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Surfaces are well maintained in a good state of repair.</w:t>
            </w:r>
          </w:p>
          <w:p w14:paraId="71B4117C" w14:textId="77777777" w:rsidR="00567BA8" w:rsidRPr="000A7463" w:rsidRDefault="00567BA8" w:rsidP="00567BA8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Paths are cleared regularly.</w:t>
            </w:r>
          </w:p>
          <w:p w14:paraId="240FB331" w14:textId="0670A038" w:rsidR="00567BA8" w:rsidRPr="000A7463" w:rsidRDefault="00567BA8" w:rsidP="00567BA8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Leaves are cleared from </w:t>
            </w:r>
            <w:r w:rsidR="00DC4505"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surfaces,</w:t>
            </w: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 as necessary.</w:t>
            </w:r>
          </w:p>
          <w:p w14:paraId="095A1D12" w14:textId="77777777" w:rsidR="00567BA8" w:rsidRPr="000A7463" w:rsidRDefault="00567BA8" w:rsidP="00567BA8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Paths are cleared of snow and salted to help prevent persons slipping.</w:t>
            </w:r>
          </w:p>
          <w:p w14:paraId="039244A0" w14:textId="6119ECD7" w:rsidR="00567BA8" w:rsidRPr="000A7463" w:rsidRDefault="00567BA8" w:rsidP="00567BA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Regular inspection of the condition of the paths take place.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710A" w14:textId="1C898E0C" w:rsidR="00567BA8" w:rsidRDefault="312A39E8" w:rsidP="00567BA8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47F9" w14:textId="77777777" w:rsidR="00567BA8" w:rsidRDefault="00567BA8" w:rsidP="00567BA8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1643" w14:textId="77777777" w:rsidR="00567BA8" w:rsidRDefault="00567BA8" w:rsidP="00567BA8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567BA8" w14:paraId="5B360EC3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4F72" w14:textId="53F7C261" w:rsidR="00567BA8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sz w:val="19"/>
                <w:szCs w:val="19"/>
              </w:rPr>
              <w:t xml:space="preserve">Falling branches/limbs or trees.: </w:t>
            </w: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B921" w14:textId="53902489" w:rsidR="00567BA8" w:rsidRPr="007D43B7" w:rsidRDefault="00567BA8" w:rsidP="00567BA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Pre-opening site inspection is carried out daily by 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 xml:space="preserve">Team.  Any issues are reported to </w:t>
            </w: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Duty Manager</w:t>
            </w:r>
            <w:r w:rsidR="00DC4505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for actioning</w:t>
            </w: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.</w:t>
            </w:r>
          </w:p>
          <w:p w14:paraId="3FD41FA0" w14:textId="77777777" w:rsidR="00567BA8" w:rsidRPr="007D43B7" w:rsidRDefault="00567BA8" w:rsidP="00567BA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All staff are briefed to be vigilant and report any concerns regarding the condition of the trees/branches as they move around the grounds</w:t>
            </w:r>
          </w:p>
          <w:p w14:paraId="4E64C818" w14:textId="77777777" w:rsidR="00567BA8" w:rsidRDefault="00567BA8" w:rsidP="00567BA8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An external tree surgeon is retained to survey the trees, report any concerns and take the appropriate action.</w:t>
            </w:r>
          </w:p>
          <w:p w14:paraId="6D190CFA" w14:textId="2E35BE6D" w:rsidR="00DC4505" w:rsidRDefault="00DC4505" w:rsidP="00567BA8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In extreme wind conditions areas of the park may be closed.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C515" w14:textId="2162AA84" w:rsidR="00567BA8" w:rsidRDefault="312A39E8" w:rsidP="00567BA8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B6FC" w14:textId="77777777" w:rsidR="00567BA8" w:rsidRDefault="00567BA8" w:rsidP="00567BA8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9ADE" w14:textId="77777777" w:rsidR="00567BA8" w:rsidRDefault="00567BA8" w:rsidP="00567BA8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</w:tbl>
    <w:p w14:paraId="7EA17FD3" w14:textId="776573D8" w:rsidR="00691CF4" w:rsidRPr="007E19AA" w:rsidRDefault="00691CF4"/>
    <w:sectPr w:rsidR="00691CF4" w:rsidRPr="007E19AA" w:rsidSect="00792832">
      <w:headerReference w:type="even" r:id="rId11"/>
      <w:headerReference w:type="default" r:id="rId12"/>
      <w:headerReference w:type="first" r:id="rId13"/>
      <w:pgSz w:w="16839" w:h="11907" w:orient="landscape"/>
      <w:pgMar w:top="1162" w:right="720" w:bottom="445" w:left="720" w:header="175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8334" w14:textId="77777777" w:rsidR="00B5011C" w:rsidRDefault="00B5011C">
      <w:r>
        <w:separator/>
      </w:r>
    </w:p>
  </w:endnote>
  <w:endnote w:type="continuationSeparator" w:id="0">
    <w:p w14:paraId="20AC765E" w14:textId="77777777" w:rsidR="00B5011C" w:rsidRDefault="00B5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5B77" w14:textId="77777777" w:rsidR="00B5011C" w:rsidRDefault="00B5011C">
      <w:r>
        <w:rPr>
          <w:color w:val="000000"/>
        </w:rPr>
        <w:separator/>
      </w:r>
    </w:p>
  </w:footnote>
  <w:footnote w:type="continuationSeparator" w:id="0">
    <w:p w14:paraId="7C8CB0A1" w14:textId="77777777" w:rsidR="00B5011C" w:rsidRDefault="00B5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2258" w14:textId="77777777" w:rsidR="00E4057D" w:rsidRDefault="00E4057D" w:rsidP="0075415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FF23247" w14:textId="77777777" w:rsidR="00E4057D" w:rsidRDefault="00E4057D" w:rsidP="0079283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53BF" w14:textId="77777777" w:rsidR="00E4057D" w:rsidRDefault="00E4057D" w:rsidP="0075415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77B07C" w14:textId="77777777" w:rsidR="00E4057D" w:rsidRPr="00A71E90" w:rsidRDefault="00E4057D" w:rsidP="00EF7F15">
    <w:pPr>
      <w:pStyle w:val="Header"/>
      <w:ind w:right="360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BC81CAD" wp14:editId="47011A6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24000" cy="419100"/>
          <wp:effectExtent l="0" t="0" r="0" b="0"/>
          <wp:wrapNone/>
          <wp:docPr id="1" name="Pictur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26A0" w14:textId="32E799D9" w:rsidR="00E4057D" w:rsidRDefault="00E4057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D0C0332" w14:textId="77777777" w:rsidR="00E4057D" w:rsidRDefault="00E40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EC7"/>
    <w:multiLevelType w:val="hybridMultilevel"/>
    <w:tmpl w:val="291ED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43763"/>
    <w:multiLevelType w:val="multilevel"/>
    <w:tmpl w:val="545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15269B"/>
    <w:multiLevelType w:val="multilevel"/>
    <w:tmpl w:val="545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DE9557D"/>
    <w:multiLevelType w:val="hybridMultilevel"/>
    <w:tmpl w:val="C5865B5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30198">
    <w:abstractNumId w:val="2"/>
  </w:num>
  <w:num w:numId="2" w16cid:durableId="161162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729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5105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559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780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8008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4434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1098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3014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7530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1811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743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6556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2212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943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861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7979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2846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9862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1751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7523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0120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3627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2249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9207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8721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066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9332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148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8211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2258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85746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5951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02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0071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704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4460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20933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4522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0075326">
    <w:abstractNumId w:val="0"/>
  </w:num>
  <w:num w:numId="42" w16cid:durableId="260601425">
    <w:abstractNumId w:val="1"/>
  </w:num>
  <w:num w:numId="43" w16cid:durableId="1199974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57"/>
    <w:rsid w:val="00001199"/>
    <w:rsid w:val="00005C9A"/>
    <w:rsid w:val="000572E5"/>
    <w:rsid w:val="000665C2"/>
    <w:rsid w:val="00073FC8"/>
    <w:rsid w:val="00083581"/>
    <w:rsid w:val="00092CAE"/>
    <w:rsid w:val="000A7463"/>
    <w:rsid w:val="000D2B47"/>
    <w:rsid w:val="000F4CE3"/>
    <w:rsid w:val="00100A42"/>
    <w:rsid w:val="001207BE"/>
    <w:rsid w:val="00127873"/>
    <w:rsid w:val="00156D90"/>
    <w:rsid w:val="00170733"/>
    <w:rsid w:val="00172047"/>
    <w:rsid w:val="001C018B"/>
    <w:rsid w:val="00220360"/>
    <w:rsid w:val="00226E30"/>
    <w:rsid w:val="002341BA"/>
    <w:rsid w:val="0023489E"/>
    <w:rsid w:val="00246FA0"/>
    <w:rsid w:val="0026187C"/>
    <w:rsid w:val="00270B7D"/>
    <w:rsid w:val="002911B2"/>
    <w:rsid w:val="002B20F9"/>
    <w:rsid w:val="002E1154"/>
    <w:rsid w:val="002E5C9F"/>
    <w:rsid w:val="00331D22"/>
    <w:rsid w:val="003446A5"/>
    <w:rsid w:val="00365622"/>
    <w:rsid w:val="00367524"/>
    <w:rsid w:val="00377021"/>
    <w:rsid w:val="003A5181"/>
    <w:rsid w:val="003B7D63"/>
    <w:rsid w:val="0040403F"/>
    <w:rsid w:val="0044678A"/>
    <w:rsid w:val="00446D85"/>
    <w:rsid w:val="00452F95"/>
    <w:rsid w:val="004A164D"/>
    <w:rsid w:val="004A2F81"/>
    <w:rsid w:val="004C5091"/>
    <w:rsid w:val="004E6A3A"/>
    <w:rsid w:val="004F5DA7"/>
    <w:rsid w:val="0050633A"/>
    <w:rsid w:val="00527A11"/>
    <w:rsid w:val="00537440"/>
    <w:rsid w:val="00560FDD"/>
    <w:rsid w:val="00567BA8"/>
    <w:rsid w:val="0057256F"/>
    <w:rsid w:val="00587F69"/>
    <w:rsid w:val="005A1207"/>
    <w:rsid w:val="005B64DE"/>
    <w:rsid w:val="005D4E70"/>
    <w:rsid w:val="006024E0"/>
    <w:rsid w:val="00611C10"/>
    <w:rsid w:val="006222EB"/>
    <w:rsid w:val="00644E85"/>
    <w:rsid w:val="00656433"/>
    <w:rsid w:val="00691CF4"/>
    <w:rsid w:val="00750CAF"/>
    <w:rsid w:val="00754156"/>
    <w:rsid w:val="00754E34"/>
    <w:rsid w:val="00756E5E"/>
    <w:rsid w:val="007610A0"/>
    <w:rsid w:val="00792832"/>
    <w:rsid w:val="0079749D"/>
    <w:rsid w:val="007B27B5"/>
    <w:rsid w:val="007D43B7"/>
    <w:rsid w:val="007E19AA"/>
    <w:rsid w:val="007E7878"/>
    <w:rsid w:val="00804E43"/>
    <w:rsid w:val="00813A71"/>
    <w:rsid w:val="008327C3"/>
    <w:rsid w:val="00857EA0"/>
    <w:rsid w:val="008648A8"/>
    <w:rsid w:val="00880EB4"/>
    <w:rsid w:val="008C3AF2"/>
    <w:rsid w:val="008E0797"/>
    <w:rsid w:val="009149F3"/>
    <w:rsid w:val="00920D1B"/>
    <w:rsid w:val="0092397B"/>
    <w:rsid w:val="009271A4"/>
    <w:rsid w:val="009454F3"/>
    <w:rsid w:val="00962E0F"/>
    <w:rsid w:val="009666EE"/>
    <w:rsid w:val="00967D76"/>
    <w:rsid w:val="009A1D58"/>
    <w:rsid w:val="009B2111"/>
    <w:rsid w:val="009C179C"/>
    <w:rsid w:val="009E1057"/>
    <w:rsid w:val="00A10652"/>
    <w:rsid w:val="00A4532A"/>
    <w:rsid w:val="00A536E9"/>
    <w:rsid w:val="00A6326E"/>
    <w:rsid w:val="00A71E90"/>
    <w:rsid w:val="00A84C52"/>
    <w:rsid w:val="00A94ACE"/>
    <w:rsid w:val="00AF6D7F"/>
    <w:rsid w:val="00B04395"/>
    <w:rsid w:val="00B3672E"/>
    <w:rsid w:val="00B5011C"/>
    <w:rsid w:val="00B64B7D"/>
    <w:rsid w:val="00B83BA0"/>
    <w:rsid w:val="00B840D5"/>
    <w:rsid w:val="00B93C72"/>
    <w:rsid w:val="00B975D4"/>
    <w:rsid w:val="00BE591E"/>
    <w:rsid w:val="00C05192"/>
    <w:rsid w:val="00C51F71"/>
    <w:rsid w:val="00C526EC"/>
    <w:rsid w:val="00C8194C"/>
    <w:rsid w:val="00C91136"/>
    <w:rsid w:val="00CB35BF"/>
    <w:rsid w:val="00D30CCC"/>
    <w:rsid w:val="00D54220"/>
    <w:rsid w:val="00DC4505"/>
    <w:rsid w:val="00E05228"/>
    <w:rsid w:val="00E4057D"/>
    <w:rsid w:val="00E50764"/>
    <w:rsid w:val="00E613F5"/>
    <w:rsid w:val="00E735BF"/>
    <w:rsid w:val="00E92B67"/>
    <w:rsid w:val="00EA7239"/>
    <w:rsid w:val="00EC3008"/>
    <w:rsid w:val="00EF30FF"/>
    <w:rsid w:val="00EF7F15"/>
    <w:rsid w:val="00F15E3B"/>
    <w:rsid w:val="00F21BFF"/>
    <w:rsid w:val="00F44489"/>
    <w:rsid w:val="00F623C9"/>
    <w:rsid w:val="00FF0B7A"/>
    <w:rsid w:val="0178FCD6"/>
    <w:rsid w:val="2FC5F642"/>
    <w:rsid w:val="312A39E8"/>
    <w:rsid w:val="3251C5E5"/>
    <w:rsid w:val="38215C67"/>
    <w:rsid w:val="608B4308"/>
    <w:rsid w:val="65A81543"/>
    <w:rsid w:val="7B22E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5DE96"/>
  <w15:docId w15:val="{801915F1-4FDC-4639-ADB6-29F324F2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pPr>
      <w:keepNext/>
      <w:outlineLvl w:val="0"/>
    </w:pPr>
    <w:rPr>
      <w:rFonts w:ascii="Arial" w:hAnsi="Arial"/>
      <w:i/>
      <w:szCs w:val="20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tyleHeading2Centered">
    <w:name w:val="Style Heading 2 + Centered"/>
    <w:basedOn w:val="Heading2"/>
    <w:autoRedefine/>
    <w:pPr>
      <w:spacing w:before="0"/>
      <w:jc w:val="center"/>
    </w:pPr>
    <w:rPr>
      <w:rFonts w:ascii="Times New Roman" w:hAnsi="Times New Roman" w:cs="Times New Roman"/>
      <w:i w:val="0"/>
      <w:iCs w:val="0"/>
      <w:color w:val="FF000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000000"/>
      <w:lang w:val="en-US"/>
    </w:rPr>
  </w:style>
  <w:style w:type="paragraph" w:customStyle="1" w:styleId="Style">
    <w:name w:val="Style"/>
    <w:pPr>
      <w:widowControl w:val="0"/>
      <w:suppressAutoHyphens/>
      <w:autoSpaceDE w:val="0"/>
      <w:autoSpaceDN w:val="0"/>
      <w:textAlignment w:val="baseline"/>
    </w:pPr>
    <w:rPr>
      <w:sz w:val="24"/>
      <w:szCs w:val="24"/>
      <w:lang w:val="en-US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B7D63"/>
  </w:style>
  <w:style w:type="character" w:customStyle="1" w:styleId="HeaderChar">
    <w:name w:val="Header Char"/>
    <w:basedOn w:val="DefaultParagraphFont"/>
    <w:link w:val="Header"/>
    <w:uiPriority w:val="99"/>
    <w:rsid w:val="00F444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5891B870C674CAD7FDD63E3336E71" ma:contentTypeVersion="2" ma:contentTypeDescription="Create a new document." ma:contentTypeScope="" ma:versionID="cbbad530349726a03ccb275e60e01626">
  <xsd:schema xmlns:xsd="http://www.w3.org/2001/XMLSchema" xmlns:xs="http://www.w3.org/2001/XMLSchema" xmlns:p="http://schemas.microsoft.com/office/2006/metadata/properties" xmlns:ns2="42b54136-dbdd-440e-8c81-780e10c26078" targetNamespace="http://schemas.microsoft.com/office/2006/metadata/properties" ma:root="true" ma:fieldsID="afca0788c2310bc20a80871007882d17" ns2:_="">
    <xsd:import namespace="42b54136-dbdd-440e-8c81-780e10c26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54136-dbdd-440e-8c81-780e10c26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D1A6-61F0-429F-8307-D35F7E6AA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D6E5E5-6172-4822-8AD8-816672E36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54136-dbdd-440e-8c81-780e10c26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0CBFB-0ACF-4D9D-8D94-B7A6EEDA2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2695C-565B-4AC1-A891-106D415D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6323</Characters>
  <Application>Microsoft Office Word</Application>
  <DocSecurity>0</DocSecurity>
  <Lines>287</Lines>
  <Paragraphs>179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Microsoft Office User</dc:creator>
  <cp:keywords/>
  <dc:description/>
  <cp:lastModifiedBy>Tim Casey</cp:lastModifiedBy>
  <cp:revision>4</cp:revision>
  <cp:lastPrinted>2020-05-26T21:01:00Z</cp:lastPrinted>
  <dcterms:created xsi:type="dcterms:W3CDTF">2025-02-16T18:12:00Z</dcterms:created>
  <dcterms:modified xsi:type="dcterms:W3CDTF">2026-02-22T14:21:00Z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0x0101004445891B870C674CAD7FDD63E3336E71</vt:lpwstr>
  </property>
</Properties>
</file>